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9136" w14:textId="5B48ED38" w:rsidR="00597C1D" w:rsidRPr="009130F5" w:rsidRDefault="00616C21">
      <w:pPr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9130F5">
        <w:rPr>
          <w:rFonts w:ascii="Aptos" w:hAnsi="Aptos"/>
          <w:b/>
          <w:bCs/>
          <w:color w:val="000000" w:themeColor="text1"/>
          <w:sz w:val="24"/>
          <w:szCs w:val="24"/>
        </w:rPr>
        <w:t>Writing</w:t>
      </w:r>
      <w:r w:rsidR="00EF5493">
        <w:rPr>
          <w:rFonts w:ascii="Aptos" w:hAnsi="Aptos"/>
          <w:b/>
          <w:bCs/>
          <w:color w:val="000000" w:themeColor="text1"/>
          <w:sz w:val="24"/>
          <w:szCs w:val="24"/>
        </w:rPr>
        <w:t xml:space="preserve"> Good</w:t>
      </w:r>
      <w:r w:rsidRPr="009130F5">
        <w:rPr>
          <w:rFonts w:ascii="Aptos" w:hAnsi="Aptos"/>
          <w:b/>
          <w:bCs/>
          <w:color w:val="000000" w:themeColor="text1"/>
          <w:sz w:val="24"/>
          <w:szCs w:val="24"/>
        </w:rPr>
        <w:t xml:space="preserve"> Definitions</w:t>
      </w:r>
    </w:p>
    <w:p w14:paraId="0A0EAF58" w14:textId="77777777" w:rsidR="00201D28" w:rsidRPr="00823562" w:rsidRDefault="00201D28">
      <w:pPr>
        <w:rPr>
          <w:rFonts w:ascii="Aptos" w:hAnsi="Aptos"/>
          <w:color w:val="000000" w:themeColor="text1"/>
          <w:sz w:val="20"/>
          <w:szCs w:val="20"/>
        </w:rPr>
      </w:pPr>
    </w:p>
    <w:bookmarkStart w:id="0" w:name="_Hlk206767259"/>
    <w:p w14:paraId="4F6884CC" w14:textId="2D6B1B36" w:rsidR="00616C21" w:rsidRPr="00823562" w:rsidRDefault="009B3CC8" w:rsidP="00CE151E">
      <w:pPr>
        <w:widowControl/>
        <w:tabs>
          <w:tab w:val="left" w:pos="360"/>
        </w:tabs>
        <w:autoSpaceDE/>
        <w:autoSpaceDN/>
        <w:spacing w:line="259" w:lineRule="auto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-134747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C21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bookmarkEnd w:id="0"/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  <w:t>D</w:t>
      </w:r>
      <w:r w:rsidR="001D5830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efinition</w:t>
      </w:r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s</w:t>
      </w:r>
      <w:r w:rsidR="001D5830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vary substantially from </w:t>
      </w:r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their </w:t>
      </w:r>
      <w:r w:rsidR="001D5830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normal dictionary meaning</w:t>
      </w:r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s</w:t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>.</w:t>
      </w:r>
    </w:p>
    <w:p w14:paraId="54EF426D" w14:textId="4D34CEBF" w:rsidR="00616C21" w:rsidRPr="00823562" w:rsidRDefault="00997049" w:rsidP="00CE151E">
      <w:pPr>
        <w:widowControl/>
        <w:tabs>
          <w:tab w:val="left" w:pos="360"/>
        </w:tabs>
        <w:autoSpaceDE/>
        <w:autoSpaceDN/>
        <w:spacing w:line="259" w:lineRule="auto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823562">
        <w:rPr>
          <w:rFonts w:ascii="Aptos" w:hAnsi="Aptos"/>
          <w:color w:val="000000" w:themeColor="text1"/>
          <w:sz w:val="20"/>
          <w:szCs w:val="20"/>
          <w:lang w:val="en-US"/>
        </w:rPr>
        <w:tab/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>If a normal dictionary definition can be swapped in without loss/change to meaning, do not redefine the term in the document.</w:t>
      </w:r>
    </w:p>
    <w:p w14:paraId="396C7A51" w14:textId="555BE50E" w:rsidR="001D5830" w:rsidRPr="00823562" w:rsidRDefault="009B3CC8" w:rsidP="00CE151E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341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C21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616C21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 </w:t>
      </w:r>
      <w:r w:rsidR="00616C21" w:rsidRPr="00823562">
        <w:rPr>
          <w:rFonts w:ascii="Aptos" w:hAnsi="Aptos"/>
          <w:color w:val="000000" w:themeColor="text1"/>
          <w:sz w:val="20"/>
          <w:szCs w:val="20"/>
          <w:lang w:val="en-US"/>
        </w:rPr>
        <w:tab/>
      </w:r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Definitions don’t </w:t>
      </w:r>
      <w:r w:rsidR="001D5830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include requirements. </w:t>
      </w:r>
    </w:p>
    <w:p w14:paraId="31D1F279" w14:textId="24E86153" w:rsidR="00616C21" w:rsidRPr="00823562" w:rsidRDefault="009B3CC8" w:rsidP="00CE151E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-72791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C21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  <w:t xml:space="preserve">Definitions don’t </w:t>
      </w:r>
      <w:r w:rsidR="001D5830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include illustrative language or examples.</w:t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 </w:t>
      </w:r>
    </w:p>
    <w:p w14:paraId="119D4CCC" w14:textId="3C9BA007" w:rsidR="001D5830" w:rsidRPr="00823562" w:rsidRDefault="00997049" w:rsidP="00CE151E">
      <w:pPr>
        <w:widowControl/>
        <w:tabs>
          <w:tab w:val="left" w:pos="360"/>
        </w:tabs>
        <w:autoSpaceDE/>
        <w:autoSpaceDN/>
        <w:spacing w:line="259" w:lineRule="auto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823562">
        <w:rPr>
          <w:rFonts w:ascii="Aptos" w:hAnsi="Aptos"/>
          <w:color w:val="000000" w:themeColor="text1"/>
          <w:sz w:val="20"/>
          <w:szCs w:val="20"/>
          <w:lang w:val="en-US"/>
        </w:rPr>
        <w:tab/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>Move illustrations and examples to informative notes, sections, or appendices, as applicable.</w:t>
      </w:r>
    </w:p>
    <w:p w14:paraId="7442B276" w14:textId="5298C871" w:rsidR="00616C21" w:rsidRPr="00823562" w:rsidRDefault="009B3CC8" w:rsidP="00CE151E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color w:val="000000" w:themeColor="text1"/>
          <w:sz w:val="20"/>
          <w:szCs w:val="20"/>
          <w:lang w:val="en-GB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52606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049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</w:r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Terms are specified and defined in a way that distinguishes them</w:t>
      </w:r>
      <w:r w:rsidR="001D5830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from one of several possible technical uses.</w:t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 </w:t>
      </w:r>
    </w:p>
    <w:p w14:paraId="03DEE760" w14:textId="39570E66" w:rsidR="001D5830" w:rsidRPr="00823562" w:rsidRDefault="00997049" w:rsidP="00CE151E">
      <w:pPr>
        <w:widowControl/>
        <w:tabs>
          <w:tab w:val="left" w:pos="360"/>
        </w:tabs>
        <w:autoSpaceDE/>
        <w:autoSpaceDN/>
        <w:spacing w:line="259" w:lineRule="auto"/>
        <w:ind w:left="360" w:hanging="360"/>
        <w:rPr>
          <w:rFonts w:ascii="Aptos" w:hAnsi="Aptos"/>
          <w:color w:val="000000" w:themeColor="text1"/>
          <w:sz w:val="20"/>
          <w:szCs w:val="20"/>
          <w:lang w:val="en-GB"/>
        </w:rPr>
      </w:pPr>
      <w:r w:rsidRPr="00823562">
        <w:rPr>
          <w:rFonts w:ascii="Aptos" w:hAnsi="Aptos"/>
          <w:color w:val="000000" w:themeColor="text1"/>
          <w:sz w:val="20"/>
          <w:szCs w:val="20"/>
          <w:lang w:val="en-US"/>
        </w:rPr>
        <w:tab/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>For example, ASHRAE’s filter community uses “removal efficiency” to distinguish their specific use of “efficiency” from other technical uses.</w:t>
      </w:r>
    </w:p>
    <w:p w14:paraId="2CA3279B" w14:textId="41CB5644" w:rsidR="00616C21" w:rsidRPr="00823562" w:rsidRDefault="009B3CC8" w:rsidP="00CE151E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182284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049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CE151E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</w:r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Terms are defined exactly as they’re used and used exactly as they’re defined in the document. </w:t>
      </w:r>
    </w:p>
    <w:p w14:paraId="3FD07814" w14:textId="03A398E6" w:rsidR="00616C21" w:rsidRPr="00823562" w:rsidRDefault="009B3CC8" w:rsidP="00CE151E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-20526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049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</w:r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Terms are not used to </w:t>
      </w:r>
      <w:r w:rsidR="001D5830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define </w:t>
      </w:r>
      <w:r w:rsidR="00616C21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themselves</w:t>
      </w:r>
      <w:r w:rsidR="00CE151E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.</w:t>
      </w:r>
    </w:p>
    <w:p w14:paraId="4C10A8F6" w14:textId="5BD0416F" w:rsidR="001D5830" w:rsidRPr="00823562" w:rsidRDefault="00997049" w:rsidP="00CE151E">
      <w:pPr>
        <w:widowControl/>
        <w:tabs>
          <w:tab w:val="left" w:pos="360"/>
        </w:tabs>
        <w:autoSpaceDE/>
        <w:autoSpaceDN/>
        <w:spacing w:line="259" w:lineRule="auto"/>
        <w:ind w:left="360" w:hanging="360"/>
        <w:rPr>
          <w:rFonts w:ascii="Aptos" w:hAnsi="Aptos"/>
          <w:color w:val="000000" w:themeColor="text1"/>
          <w:sz w:val="20"/>
          <w:szCs w:val="20"/>
          <w:lang w:val="en-GB"/>
        </w:rPr>
      </w:pPr>
      <w:r w:rsidRPr="00823562">
        <w:rPr>
          <w:rFonts w:ascii="Aptos" w:hAnsi="Aptos"/>
          <w:color w:val="000000" w:themeColor="text1"/>
          <w:sz w:val="20"/>
          <w:szCs w:val="20"/>
          <w:lang w:val="en-US"/>
        </w:rPr>
        <w:tab/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(i.e., no circular </w:t>
      </w:r>
      <w:r w:rsidR="001D5830" w:rsidRPr="009130F5">
        <w:rPr>
          <w:rFonts w:ascii="Aptos" w:hAnsi="Aptos"/>
          <w:color w:val="000000" w:themeColor="text1"/>
          <w:sz w:val="20"/>
          <w:szCs w:val="20"/>
          <w:lang w:val="en-US"/>
        </w:rPr>
        <w:t>definitions).</w:t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 For example,</w:t>
      </w:r>
      <w:r w:rsidR="001D5830" w:rsidRPr="00823562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="001D5830" w:rsidRPr="00823562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 xml:space="preserve">correlation ratio data acceptance criteria </w:t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>should not be defined as “criteria used to determine the adequacy of the correlation data.”</w:t>
      </w:r>
    </w:p>
    <w:p w14:paraId="121B7C28" w14:textId="38E90092" w:rsidR="00997049" w:rsidRPr="00823562" w:rsidRDefault="009B3CC8" w:rsidP="00CE151E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-105069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049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  <w:t>S</w:t>
      </w:r>
      <w:r w:rsidR="009817A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tandard I-P and SI units of measure 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aren’t defined</w:t>
      </w:r>
      <w:r w:rsidR="00CE151E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9817A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(e.g., kilowatts</w:t>
      </w:r>
      <w:r w:rsidR="007808EB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)</w:t>
      </w:r>
      <w:r w:rsidR="00CE151E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.</w:t>
      </w:r>
    </w:p>
    <w:p w14:paraId="125DFDF8" w14:textId="5F6B2C1E" w:rsidR="009817A6" w:rsidRPr="00823562" w:rsidRDefault="00997049" w:rsidP="00CE151E">
      <w:pPr>
        <w:widowControl/>
        <w:tabs>
          <w:tab w:val="left" w:pos="360"/>
        </w:tabs>
        <w:autoSpaceDE/>
        <w:autoSpaceDN/>
        <w:spacing w:line="259" w:lineRule="auto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823562">
        <w:rPr>
          <w:rFonts w:ascii="Aptos" w:hAnsi="Aptos"/>
          <w:color w:val="000000" w:themeColor="text1"/>
          <w:sz w:val="20"/>
          <w:szCs w:val="20"/>
          <w:lang w:val="en-US"/>
        </w:rPr>
        <w:tab/>
      </w:r>
      <w:r w:rsidR="009817A6" w:rsidRPr="00823562">
        <w:rPr>
          <w:rFonts w:ascii="Aptos" w:hAnsi="Aptos"/>
          <w:color w:val="000000" w:themeColor="text1"/>
          <w:sz w:val="20"/>
          <w:szCs w:val="20"/>
          <w:lang w:val="en-US"/>
        </w:rPr>
        <w:t>Exceptions include calculated measurements or rates, such as SEER, EER, etc.</w:t>
      </w:r>
    </w:p>
    <w:p w14:paraId="523F3C93" w14:textId="77777777" w:rsidR="00CE151E" w:rsidRPr="00823562" w:rsidRDefault="009B3CC8" w:rsidP="00CE151E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-23454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049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  <w:t>Synonyms are c</w:t>
      </w:r>
      <w:r w:rsidR="009817A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ross-reference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d</w:t>
      </w:r>
      <w:r w:rsidR="00355F5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to a</w:t>
      </w:r>
      <w:r w:rsidR="009817A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primary definition and use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d</w:t>
      </w:r>
      <w:r w:rsidR="009817A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sparingly</w:t>
      </w:r>
      <w:r w:rsidR="009817A6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. </w:t>
      </w:r>
    </w:p>
    <w:p w14:paraId="3AE4D75B" w14:textId="7CE19736" w:rsidR="009817A6" w:rsidRPr="00823562" w:rsidRDefault="00CE151E" w:rsidP="00CE151E">
      <w:pPr>
        <w:widowControl/>
        <w:tabs>
          <w:tab w:val="left" w:pos="360"/>
        </w:tabs>
        <w:autoSpaceDE/>
        <w:autoSpaceDN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823562">
        <w:rPr>
          <w:rFonts w:ascii="MS Gothic" w:eastAsia="MS Gothic" w:hAnsi="MS Gothic"/>
          <w:b/>
          <w:bCs/>
          <w:color w:val="000000" w:themeColor="text1"/>
          <w:sz w:val="20"/>
          <w:szCs w:val="20"/>
          <w:lang w:val="en-US"/>
        </w:rPr>
        <w:tab/>
      </w:r>
      <w:r w:rsidR="009817A6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Where multiple terms </w:t>
      </w:r>
      <w:r w:rsidR="009130F5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could</w:t>
      </w:r>
      <w:r w:rsidR="009817A6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 be used, best practice is to </w:t>
      </w:r>
      <w:r w:rsidR="00355F56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define </w:t>
      </w:r>
      <w:r w:rsidR="009817A6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one and use it consistently. </w:t>
      </w:r>
    </w:p>
    <w:p w14:paraId="651C8AC9" w14:textId="3F171396" w:rsidR="00997049" w:rsidRPr="00823562" w:rsidRDefault="009B3CC8" w:rsidP="00CE151E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-78226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049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</w:r>
      <w:r w:rsidR="009817A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Definitions 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aren’t</w:t>
      </w:r>
      <w:r w:rsidR="009817A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substantially made up of jargon</w:t>
      </w:r>
      <w:r w:rsidR="00997049" w:rsidRPr="00823562">
        <w:rPr>
          <w:rFonts w:ascii="Aptos" w:hAnsi="Aptos"/>
          <w:color w:val="000000" w:themeColor="text1"/>
          <w:sz w:val="20"/>
          <w:szCs w:val="20"/>
          <w:lang w:val="en-US"/>
        </w:rPr>
        <w:t>.</w:t>
      </w:r>
    </w:p>
    <w:p w14:paraId="7898E703" w14:textId="2D887136" w:rsidR="009817A6" w:rsidRPr="00823562" w:rsidRDefault="00997049" w:rsidP="00CE151E">
      <w:pPr>
        <w:widowControl/>
        <w:tabs>
          <w:tab w:val="left" w:pos="360"/>
        </w:tabs>
        <w:autoSpaceDE/>
        <w:autoSpaceDN/>
        <w:spacing w:line="259" w:lineRule="auto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823562">
        <w:rPr>
          <w:rFonts w:ascii="Aptos" w:hAnsi="Aptos"/>
          <w:color w:val="000000" w:themeColor="text1"/>
          <w:sz w:val="20"/>
          <w:szCs w:val="20"/>
          <w:lang w:val="en-US"/>
        </w:rPr>
        <w:tab/>
        <w:t>…e</w:t>
      </w:r>
      <w:r w:rsidR="009817A6" w:rsidRPr="00823562">
        <w:rPr>
          <w:rFonts w:ascii="Aptos" w:hAnsi="Aptos"/>
          <w:color w:val="000000" w:themeColor="text1"/>
          <w:sz w:val="20"/>
          <w:szCs w:val="20"/>
          <w:lang w:val="en-US"/>
        </w:rPr>
        <w:t>ven if such jargon is commonly understood in the industry.</w:t>
      </w:r>
      <w:bookmarkStart w:id="1" w:name="_Hlk167280971"/>
    </w:p>
    <w:p w14:paraId="6A9076B8" w14:textId="30B93F07" w:rsidR="001D5830" w:rsidRPr="00823562" w:rsidRDefault="009B3CC8" w:rsidP="00CE151E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-42481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049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  <w:t xml:space="preserve">Definitions don’t </w:t>
      </w:r>
      <w:r w:rsidR="001D5830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include measurements or calculations</w:t>
      </w:r>
      <w:r w:rsidR="00355F5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,</w:t>
      </w:r>
      <w:r w:rsidR="001D5830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or the units in which a value is expressed</w:t>
      </w:r>
      <w:r w:rsidR="00997049" w:rsidRPr="00823562">
        <w:rPr>
          <w:rFonts w:ascii="Aptos" w:hAnsi="Aptos"/>
          <w:color w:val="000000" w:themeColor="text1"/>
          <w:sz w:val="20"/>
          <w:szCs w:val="20"/>
          <w:lang w:val="en-US"/>
        </w:rPr>
        <w:t>.</w:t>
      </w:r>
      <w:r w:rsidR="001D5830" w:rsidRPr="00823562">
        <w:rPr>
          <w:rFonts w:ascii="Aptos" w:hAnsi="Aptos"/>
          <w:color w:val="000000" w:themeColor="text1"/>
          <w:sz w:val="20"/>
          <w:szCs w:val="20"/>
          <w:lang w:val="en-US"/>
        </w:rPr>
        <w:t xml:space="preserve"> </w:t>
      </w:r>
    </w:p>
    <w:p w14:paraId="43276E59" w14:textId="77777777" w:rsidR="001D5830" w:rsidRPr="00823562" w:rsidRDefault="001D5830" w:rsidP="00997049">
      <w:pPr>
        <w:widowControl/>
        <w:autoSpaceDE/>
        <w:autoSpaceDN/>
        <w:spacing w:before="240" w:line="259" w:lineRule="auto"/>
        <w:ind w:left="446"/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</w:pPr>
      <w:r w:rsidRPr="00823562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No:</w:t>
      </w:r>
    </w:p>
    <w:p w14:paraId="5AC12FB0" w14:textId="77777777" w:rsidR="001D5830" w:rsidRPr="00823562" w:rsidRDefault="001D5830" w:rsidP="00997049">
      <w:pPr>
        <w:widowControl/>
        <w:autoSpaceDE/>
        <w:autoSpaceDN/>
        <w:spacing w:after="160" w:line="259" w:lineRule="auto"/>
        <w:ind w:left="450"/>
        <w:contextualSpacing/>
        <w:rPr>
          <w:rFonts w:ascii="Aptos" w:hAnsi="Aptos"/>
          <w:sz w:val="20"/>
          <w:szCs w:val="20"/>
          <w:lang w:val="en-US"/>
        </w:rPr>
      </w:pPr>
      <w:r w:rsidRPr="00823562">
        <w:rPr>
          <w:rFonts w:ascii="Aptos" w:hAnsi="Aptos"/>
          <w:b/>
          <w:bCs/>
          <w:i/>
          <w:iCs/>
          <w:sz w:val="20"/>
          <w:szCs w:val="20"/>
          <w:lang w:val="en-US"/>
        </w:rPr>
        <w:t>particle counter sizing accuracy:</w:t>
      </w:r>
      <w:r w:rsidRPr="00823562">
        <w:rPr>
          <w:rFonts w:ascii="Aptos" w:hAnsi="Aptos"/>
          <w:b/>
          <w:bCs/>
          <w:sz w:val="20"/>
          <w:szCs w:val="20"/>
          <w:lang w:val="en-US"/>
        </w:rPr>
        <w:t xml:space="preserve"> </w:t>
      </w:r>
      <w:r w:rsidRPr="00823562">
        <w:rPr>
          <w:rFonts w:ascii="Aptos" w:hAnsi="Aptos"/>
          <w:sz w:val="20"/>
          <w:szCs w:val="20"/>
          <w:lang w:val="en-US"/>
        </w:rPr>
        <w:t xml:space="preserve">the sizing accuracy Ɛ(x) is determined by the function  </w:t>
      </w:r>
      <w:r w:rsidRPr="00823562">
        <w:rPr>
          <w:rFonts w:ascii="Aptos" w:hAnsi="Aptos"/>
          <w:position w:val="-32"/>
          <w:sz w:val="20"/>
          <w:szCs w:val="20"/>
        </w:rPr>
        <w:object w:dxaOrig="3240" w:dyaOrig="760" w14:anchorId="66FBF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4pt;height:35.05pt" o:ole="">
            <v:imagedata r:id="rId8" o:title=""/>
          </v:shape>
          <o:OLEObject Type="Embed" ProgID="Equation.DSMT4" ShapeID="_x0000_i1025" DrawAspect="Content" ObjectID="_1817822836" r:id="rId9"/>
        </w:object>
      </w:r>
    </w:p>
    <w:p w14:paraId="404F473B" w14:textId="77777777" w:rsidR="001D5830" w:rsidRPr="00823562" w:rsidRDefault="001D5830" w:rsidP="00997049">
      <w:pPr>
        <w:widowControl/>
        <w:autoSpaceDE/>
        <w:autoSpaceDN/>
        <w:spacing w:after="160" w:line="259" w:lineRule="auto"/>
        <w:ind w:left="450"/>
        <w:contextualSpacing/>
        <w:rPr>
          <w:rFonts w:ascii="Aptos" w:hAnsi="Aptos"/>
          <w:sz w:val="20"/>
          <w:szCs w:val="20"/>
          <w:lang w:val="en-US"/>
        </w:rPr>
      </w:pPr>
      <w:r w:rsidRPr="00823562">
        <w:rPr>
          <w:rFonts w:ascii="Aptos" w:hAnsi="Aptos"/>
          <w:sz w:val="20"/>
          <w:szCs w:val="20"/>
          <w:lang w:val="en-US"/>
        </w:rPr>
        <w:t xml:space="preserve">Note, </w:t>
      </w:r>
      <w:r w:rsidRPr="00823562">
        <w:rPr>
          <w:rFonts w:ascii="Aptos" w:hAnsi="Aptos"/>
          <w:i/>
          <w:iCs/>
          <w:sz w:val="20"/>
          <w:szCs w:val="20"/>
          <w:lang w:val="en-US"/>
        </w:rPr>
        <w:t>x</w:t>
      </w:r>
      <w:r w:rsidRPr="00823562">
        <w:rPr>
          <w:rFonts w:ascii="Aptos" w:hAnsi="Aptos"/>
          <w:i/>
          <w:iCs/>
          <w:sz w:val="20"/>
          <w:szCs w:val="20"/>
          <w:vertAlign w:val="subscript"/>
          <w:lang w:val="en-US"/>
        </w:rPr>
        <w:t>measured</w:t>
      </w:r>
      <w:r w:rsidRPr="00823562">
        <w:rPr>
          <w:rFonts w:ascii="Aptos" w:hAnsi="Aptos"/>
          <w:sz w:val="20"/>
          <w:szCs w:val="20"/>
          <w:lang w:val="en-US"/>
        </w:rPr>
        <w:t xml:space="preserve"> is the particle size indicated by the counter for a reference particle and x</w:t>
      </w:r>
      <w:r w:rsidRPr="00823562">
        <w:rPr>
          <w:rFonts w:ascii="Aptos" w:hAnsi="Aptos"/>
          <w:i/>
          <w:iCs/>
          <w:sz w:val="20"/>
          <w:szCs w:val="20"/>
          <w:vertAlign w:val="subscript"/>
          <w:lang w:val="en-US"/>
        </w:rPr>
        <w:t>reference</w:t>
      </w:r>
      <w:r w:rsidRPr="00823562">
        <w:rPr>
          <w:rFonts w:ascii="Aptos" w:hAnsi="Aptos"/>
          <w:sz w:val="20"/>
          <w:szCs w:val="20"/>
          <w:vertAlign w:val="subscript"/>
          <w:lang w:val="en-US"/>
        </w:rPr>
        <w:t xml:space="preserve"> </w:t>
      </w:r>
      <w:r w:rsidRPr="00823562">
        <w:rPr>
          <w:rFonts w:ascii="Aptos" w:hAnsi="Aptos"/>
          <w:sz w:val="20"/>
          <w:szCs w:val="20"/>
          <w:lang w:val="en-US"/>
        </w:rPr>
        <w:t>is the actual size of the reference particle.</w:t>
      </w:r>
    </w:p>
    <w:p w14:paraId="3C6C8989" w14:textId="77777777" w:rsidR="001D5830" w:rsidRPr="00823562" w:rsidRDefault="001D5830" w:rsidP="00997049">
      <w:pPr>
        <w:widowControl/>
        <w:autoSpaceDE/>
        <w:autoSpaceDN/>
        <w:spacing w:after="160" w:line="259" w:lineRule="auto"/>
        <w:ind w:left="450" w:firstLine="720"/>
        <w:contextualSpacing/>
        <w:rPr>
          <w:rFonts w:ascii="Aptos" w:hAnsi="Aptos"/>
          <w:i/>
          <w:iCs/>
          <w:sz w:val="20"/>
          <w:szCs w:val="20"/>
          <w:lang w:val="en-US"/>
        </w:rPr>
      </w:pPr>
    </w:p>
    <w:p w14:paraId="2AE52436" w14:textId="77777777" w:rsidR="001D5830" w:rsidRPr="00823562" w:rsidRDefault="001D5830" w:rsidP="00997049">
      <w:pPr>
        <w:widowControl/>
        <w:autoSpaceDE/>
        <w:autoSpaceDN/>
        <w:spacing w:after="160" w:line="259" w:lineRule="auto"/>
        <w:ind w:left="450"/>
        <w:contextualSpacing/>
        <w:rPr>
          <w:rFonts w:ascii="Aptos" w:hAnsi="Aptos"/>
          <w:i/>
          <w:iCs/>
          <w:sz w:val="20"/>
          <w:szCs w:val="20"/>
          <w:lang w:val="en-US"/>
        </w:rPr>
      </w:pPr>
      <w:r w:rsidRPr="00823562">
        <w:rPr>
          <w:rFonts w:ascii="Aptos" w:hAnsi="Aptos"/>
          <w:i/>
          <w:iCs/>
          <w:sz w:val="20"/>
          <w:szCs w:val="20"/>
          <w:lang w:val="en-US"/>
        </w:rPr>
        <w:t>Yes:</w:t>
      </w:r>
    </w:p>
    <w:p w14:paraId="678D8E74" w14:textId="3B7388A0" w:rsidR="00EE216A" w:rsidRPr="00EF5493" w:rsidRDefault="001D5830" w:rsidP="00EF5493">
      <w:pPr>
        <w:widowControl/>
        <w:autoSpaceDE/>
        <w:autoSpaceDN/>
        <w:spacing w:after="160" w:line="259" w:lineRule="auto"/>
        <w:ind w:left="446"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823562">
        <w:rPr>
          <w:rFonts w:ascii="Aptos" w:hAnsi="Aptos"/>
          <w:b/>
          <w:bCs/>
          <w:i/>
          <w:iCs/>
          <w:sz w:val="20"/>
          <w:szCs w:val="20"/>
          <w:lang w:val="en-US"/>
        </w:rPr>
        <w:t>particle counter sizing accuracy:</w:t>
      </w:r>
      <w:r w:rsidRPr="00823562">
        <w:rPr>
          <w:rFonts w:ascii="Aptos" w:hAnsi="Aptos"/>
          <w:sz w:val="20"/>
          <w:szCs w:val="20"/>
          <w:lang w:val="en-US"/>
        </w:rPr>
        <w:t xml:space="preserve"> measure of the ability of an instrument to correctly determine the size of a reference particle of known size.</w:t>
      </w:r>
      <w:bookmarkEnd w:id="1"/>
    </w:p>
    <w:p w14:paraId="2206D677" w14:textId="36318935" w:rsidR="00997049" w:rsidRPr="00823562" w:rsidRDefault="009B3CC8" w:rsidP="00EF5493">
      <w:pPr>
        <w:widowControl/>
        <w:tabs>
          <w:tab w:val="left" w:pos="360"/>
        </w:tabs>
        <w:autoSpaceDE/>
        <w:autoSpaceDN/>
        <w:spacing w:before="80"/>
        <w:ind w:left="360" w:hanging="360"/>
        <w:rPr>
          <w:rFonts w:ascii="Aptos" w:hAnsi="Aptos"/>
          <w:color w:val="000000" w:themeColor="text1"/>
          <w:sz w:val="20"/>
          <w:szCs w:val="20"/>
          <w:lang w:val="en-US"/>
        </w:rPr>
      </w:pPr>
      <w:sdt>
        <w:sdtPr>
          <w:rPr>
            <w:rFonts w:ascii="Aptos" w:hAnsi="Aptos"/>
            <w:b/>
            <w:bCs/>
            <w:color w:val="000000" w:themeColor="text1"/>
            <w:sz w:val="20"/>
            <w:szCs w:val="20"/>
            <w:lang w:val="en-US"/>
          </w:rPr>
          <w:id w:val="-87746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493" w:rsidRPr="00823562">
            <w:rPr>
              <w:rFonts w:ascii="MS Gothic" w:eastAsia="MS Gothic" w:hAnsi="MS Gothic" w:hint="eastAsia"/>
              <w:b/>
              <w:bCs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EF5493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EF5493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ab/>
      </w:r>
      <w:r w:rsidR="00BC4F7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T</w:t>
      </w:r>
      <w:r w:rsidR="00F95C4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erms defined as verbs </w:t>
      </w:r>
      <w:r w:rsidR="00997049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are</w:t>
      </w:r>
      <w:r w:rsidR="00EE216A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462D34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n</w:t>
      </w:r>
      <w:r w:rsidR="00EE216A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o</w:t>
      </w:r>
      <w:r w:rsidR="00462D34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t </w:t>
      </w:r>
      <w:r w:rsidR="00F95C4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also used as nouns</w:t>
      </w:r>
      <w:r w:rsidR="00462D34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 xml:space="preserve"> (and vice versa)</w:t>
      </w:r>
      <w:r w:rsidR="00F95C46" w:rsidRPr="00823562">
        <w:rPr>
          <w:rFonts w:ascii="Aptos" w:hAnsi="Aptos"/>
          <w:b/>
          <w:bCs/>
          <w:color w:val="000000" w:themeColor="text1"/>
          <w:sz w:val="20"/>
          <w:szCs w:val="20"/>
          <w:lang w:val="en-US"/>
        </w:rPr>
        <w:t>.</w:t>
      </w:r>
    </w:p>
    <w:p w14:paraId="6440FAA2" w14:textId="7B5E5CE2" w:rsidR="00EE216A" w:rsidRPr="00EF5493" w:rsidRDefault="00F95C46" w:rsidP="00EF5493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The term </w:t>
      </w:r>
      <w:r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control</w:t>
      </w: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</w:t>
      </w:r>
      <w:r w:rsidR="00BC4F79" w:rsidRPr="00EF5493">
        <w:rPr>
          <w:rFonts w:ascii="Aptos" w:hAnsi="Aptos"/>
          <w:color w:val="000000" w:themeColor="text1"/>
          <w:sz w:val="20"/>
          <w:szCs w:val="20"/>
          <w:lang w:val="en-US"/>
        </w:rPr>
        <w:t>(v.)</w:t>
      </w: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, </w:t>
      </w:r>
      <w:r w:rsidR="00BC4F7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which defines an action, </w:t>
      </w: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>can’t also implicitly</w:t>
      </w:r>
      <w:r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462D34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refer to </w:t>
      </w: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>the thing performing the action</w:t>
      </w:r>
      <w:r w:rsidR="00BC4F7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(</w:t>
      </w:r>
      <w:r w:rsidR="00BC4F79"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control</w:t>
      </w:r>
      <w:r w:rsidR="00BC4F79" w:rsidRPr="00EF5493">
        <w:rPr>
          <w:rFonts w:ascii="Aptos" w:hAnsi="Aptos"/>
          <w:color w:val="000000" w:themeColor="text1"/>
          <w:sz w:val="20"/>
          <w:szCs w:val="20"/>
          <w:lang w:val="en-US"/>
        </w:rPr>
        <w:t>, n.)</w:t>
      </w: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. </w:t>
      </w:r>
    </w:p>
    <w:p w14:paraId="111D8FCC" w14:textId="77777777" w:rsidR="00997049" w:rsidRPr="00EF5493" w:rsidRDefault="00AC0410" w:rsidP="00EF5493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>N</w:t>
      </w:r>
      <w:r w:rsidR="00EE216A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ouns and verbs </w:t>
      </w: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>should be defined as</w:t>
      </w:r>
      <w:r w:rsidR="00EE216A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different terms. For example,</w:t>
      </w:r>
      <w:r w:rsidR="00BC4F7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</w:t>
      </w:r>
      <w:r w:rsidR="00BC4F79"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 xml:space="preserve">control </w:t>
      </w:r>
      <w:r w:rsidR="00BC4F7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(v.) and </w:t>
      </w:r>
      <w:r w:rsidR="00F95C46"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control device</w:t>
      </w:r>
      <w:r w:rsidR="00F95C46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</w:t>
      </w:r>
      <w:r w:rsidR="00BC1A79" w:rsidRPr="00EF5493">
        <w:rPr>
          <w:rFonts w:ascii="Aptos" w:hAnsi="Aptos"/>
          <w:color w:val="000000" w:themeColor="text1"/>
          <w:sz w:val="20"/>
          <w:szCs w:val="20"/>
          <w:lang w:val="en-US"/>
        </w:rPr>
        <w:t>(n.)</w:t>
      </w:r>
      <w:r w:rsidR="00F95C46" w:rsidRPr="00EF5493">
        <w:rPr>
          <w:rFonts w:ascii="Aptos" w:hAnsi="Aptos"/>
          <w:color w:val="000000" w:themeColor="text1"/>
          <w:sz w:val="20"/>
          <w:szCs w:val="20"/>
          <w:lang w:val="en-US"/>
        </w:rPr>
        <w:t>.</w:t>
      </w:r>
    </w:p>
    <w:p w14:paraId="02F988EA" w14:textId="1AECFFC9" w:rsidR="00EE216A" w:rsidRPr="00EF5493" w:rsidRDefault="00EE216A" w:rsidP="00EF5493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>T</w:t>
      </w:r>
      <w:r w:rsidR="00F95C46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erms defined as nouns can </w:t>
      </w:r>
      <w:r w:rsidR="00355F56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also </w:t>
      </w:r>
      <w:r w:rsidR="00F95C46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be used as adjectives. The term </w:t>
      </w:r>
      <w:r w:rsidR="00F95C46"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process load</w:t>
      </w:r>
      <w:r w:rsidR="00F95C46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defines a kind of load. Used as an adjective</w:t>
      </w:r>
      <w:r w:rsidR="007D1CD9" w:rsidRPr="00EF5493">
        <w:rPr>
          <w:rFonts w:ascii="Aptos" w:hAnsi="Aptos"/>
          <w:color w:val="000000" w:themeColor="text1"/>
          <w:sz w:val="20"/>
          <w:szCs w:val="20"/>
          <w:lang w:val="en-US"/>
        </w:rPr>
        <w:t>—</w:t>
      </w:r>
      <w:r w:rsidR="00F95C46"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process load</w:t>
      </w:r>
      <w:r w:rsidR="00F95C46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calculation</w:t>
      </w:r>
      <w:r w:rsidR="007D1CD9" w:rsidRPr="00EF5493">
        <w:rPr>
          <w:rFonts w:ascii="Aptos" w:hAnsi="Aptos"/>
          <w:color w:val="000000" w:themeColor="text1"/>
          <w:sz w:val="20"/>
          <w:szCs w:val="20"/>
          <w:lang w:val="en-US"/>
        </w:rPr>
        <w:t>—</w:t>
      </w:r>
      <w:r w:rsidR="00F95C46" w:rsidRPr="00EF5493">
        <w:rPr>
          <w:rFonts w:ascii="Aptos" w:hAnsi="Aptos"/>
          <w:color w:val="000000" w:themeColor="text1"/>
          <w:sz w:val="20"/>
          <w:szCs w:val="20"/>
          <w:lang w:val="en-US"/>
        </w:rPr>
        <w:t>the term’s meaning doesn’t change</w:t>
      </w:r>
      <w:r w:rsidR="00355F56" w:rsidRPr="00EF5493">
        <w:rPr>
          <w:rFonts w:ascii="Aptos" w:hAnsi="Aptos"/>
          <w:color w:val="000000" w:themeColor="text1"/>
          <w:sz w:val="20"/>
          <w:szCs w:val="20"/>
          <w:lang w:val="en-US"/>
        </w:rPr>
        <w:t>, so it applies.</w:t>
      </w:r>
    </w:p>
    <w:p w14:paraId="12CD0A58" w14:textId="7B114BCB" w:rsidR="00EE216A" w:rsidRPr="00EF5493" w:rsidRDefault="00EE216A" w:rsidP="00EF5493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Aptos" w:hAnsi="Aptos"/>
          <w:color w:val="000000" w:themeColor="text1"/>
          <w:sz w:val="20"/>
          <w:szCs w:val="20"/>
          <w:lang w:val="en-US"/>
        </w:rPr>
      </w:pP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Single and plural forms of terms both </w:t>
      </w:r>
      <w:r w:rsidR="007D1CD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always </w:t>
      </w:r>
      <w:r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have </w:t>
      </w:r>
      <w:r w:rsidR="007D1CD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the </w:t>
      </w:r>
      <w:r w:rsidR="0064650D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same </w:t>
      </w:r>
      <w:r w:rsidR="007D1CD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defined meaning. </w:t>
      </w:r>
      <w:r w:rsidR="007D1CD9"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Building</w:t>
      </w:r>
      <w:r w:rsidR="007D1CD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and </w:t>
      </w:r>
      <w:r w:rsidR="007D1CD9"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buildings</w:t>
      </w:r>
      <w:r w:rsidR="007D1CD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carry the same defined meaning, even if </w:t>
      </w:r>
      <w:r w:rsidR="007D1CD9" w:rsidRPr="00EF5493">
        <w:rPr>
          <w:rFonts w:ascii="Aptos" w:hAnsi="Aptos"/>
          <w:i/>
          <w:iCs/>
          <w:color w:val="000000" w:themeColor="text1"/>
          <w:sz w:val="20"/>
          <w:szCs w:val="20"/>
          <w:lang w:val="en-US"/>
        </w:rPr>
        <w:t>building</w:t>
      </w:r>
      <w:r w:rsidR="007D1CD9" w:rsidRPr="00EF5493">
        <w:rPr>
          <w:rFonts w:ascii="Aptos" w:hAnsi="Aptos"/>
          <w:color w:val="000000" w:themeColor="text1"/>
          <w:sz w:val="20"/>
          <w:szCs w:val="20"/>
          <w:lang w:val="en-US"/>
        </w:rPr>
        <w:t xml:space="preserve"> (singular) is what’s defined.</w:t>
      </w:r>
    </w:p>
    <w:sectPr w:rsidR="00EE216A" w:rsidRPr="00EF5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DEBA" w14:textId="77777777" w:rsidR="00E535BE" w:rsidRDefault="00E535BE" w:rsidP="00E535BE">
      <w:r>
        <w:separator/>
      </w:r>
    </w:p>
  </w:endnote>
  <w:endnote w:type="continuationSeparator" w:id="0">
    <w:p w14:paraId="751C1462" w14:textId="77777777" w:rsidR="00E535BE" w:rsidRDefault="00E535BE" w:rsidP="00E5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62B9" w14:textId="77777777" w:rsidR="00E535BE" w:rsidRDefault="00E535BE" w:rsidP="00E535BE">
      <w:r>
        <w:separator/>
      </w:r>
    </w:p>
  </w:footnote>
  <w:footnote w:type="continuationSeparator" w:id="0">
    <w:p w14:paraId="0103365E" w14:textId="77777777" w:rsidR="00E535BE" w:rsidRDefault="00E535BE" w:rsidP="00E5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59C4"/>
    <w:multiLevelType w:val="hybridMultilevel"/>
    <w:tmpl w:val="B44AE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2147"/>
    <w:multiLevelType w:val="hybridMultilevel"/>
    <w:tmpl w:val="3A3A0E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329C"/>
    <w:multiLevelType w:val="hybridMultilevel"/>
    <w:tmpl w:val="80B2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33B0B"/>
    <w:multiLevelType w:val="hybridMultilevel"/>
    <w:tmpl w:val="08E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2123"/>
    <w:multiLevelType w:val="hybridMultilevel"/>
    <w:tmpl w:val="D3BC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6004"/>
    <w:multiLevelType w:val="hybridMultilevel"/>
    <w:tmpl w:val="F9E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04F2"/>
    <w:multiLevelType w:val="hybridMultilevel"/>
    <w:tmpl w:val="BF20A2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F4302"/>
    <w:multiLevelType w:val="hybridMultilevel"/>
    <w:tmpl w:val="EC587B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7211D"/>
    <w:multiLevelType w:val="hybridMultilevel"/>
    <w:tmpl w:val="07FCA5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35062">
    <w:abstractNumId w:val="6"/>
  </w:num>
  <w:num w:numId="2" w16cid:durableId="237254164">
    <w:abstractNumId w:val="0"/>
  </w:num>
  <w:num w:numId="3" w16cid:durableId="554782634">
    <w:abstractNumId w:val="8"/>
  </w:num>
  <w:num w:numId="4" w16cid:durableId="28724504">
    <w:abstractNumId w:val="7"/>
  </w:num>
  <w:num w:numId="5" w16cid:durableId="433981652">
    <w:abstractNumId w:val="1"/>
  </w:num>
  <w:num w:numId="6" w16cid:durableId="155730111">
    <w:abstractNumId w:val="3"/>
  </w:num>
  <w:num w:numId="7" w16cid:durableId="1452283834">
    <w:abstractNumId w:val="5"/>
  </w:num>
  <w:num w:numId="8" w16cid:durableId="1297182748">
    <w:abstractNumId w:val="4"/>
  </w:num>
  <w:num w:numId="9" w16cid:durableId="1460345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28"/>
    <w:rsid w:val="00011E95"/>
    <w:rsid w:val="00025BF7"/>
    <w:rsid w:val="000B3B57"/>
    <w:rsid w:val="00117A26"/>
    <w:rsid w:val="00122163"/>
    <w:rsid w:val="0013464A"/>
    <w:rsid w:val="001601EE"/>
    <w:rsid w:val="001619F2"/>
    <w:rsid w:val="001C3F37"/>
    <w:rsid w:val="001D5830"/>
    <w:rsid w:val="00201D28"/>
    <w:rsid w:val="00252979"/>
    <w:rsid w:val="002856F8"/>
    <w:rsid w:val="002D68E7"/>
    <w:rsid w:val="00311582"/>
    <w:rsid w:val="00314662"/>
    <w:rsid w:val="00355F56"/>
    <w:rsid w:val="003A04CE"/>
    <w:rsid w:val="003A5B65"/>
    <w:rsid w:val="003A5F74"/>
    <w:rsid w:val="003B0FF4"/>
    <w:rsid w:val="003F5C50"/>
    <w:rsid w:val="004249B3"/>
    <w:rsid w:val="004438A9"/>
    <w:rsid w:val="00462D34"/>
    <w:rsid w:val="004A68AD"/>
    <w:rsid w:val="004B107B"/>
    <w:rsid w:val="004B4A7B"/>
    <w:rsid w:val="004D4A84"/>
    <w:rsid w:val="004F24A7"/>
    <w:rsid w:val="004F3AE2"/>
    <w:rsid w:val="00547E25"/>
    <w:rsid w:val="00597C1D"/>
    <w:rsid w:val="005A092B"/>
    <w:rsid w:val="005B14AF"/>
    <w:rsid w:val="005E4C81"/>
    <w:rsid w:val="00603BB7"/>
    <w:rsid w:val="00616C21"/>
    <w:rsid w:val="00643F51"/>
    <w:rsid w:val="0064650D"/>
    <w:rsid w:val="0067430A"/>
    <w:rsid w:val="0068774E"/>
    <w:rsid w:val="00693160"/>
    <w:rsid w:val="0069340F"/>
    <w:rsid w:val="006C6B27"/>
    <w:rsid w:val="006D5E4C"/>
    <w:rsid w:val="007808EB"/>
    <w:rsid w:val="007828BE"/>
    <w:rsid w:val="00793074"/>
    <w:rsid w:val="007C20CA"/>
    <w:rsid w:val="007D1CD9"/>
    <w:rsid w:val="007F4BB7"/>
    <w:rsid w:val="0081579B"/>
    <w:rsid w:val="00823562"/>
    <w:rsid w:val="008772E2"/>
    <w:rsid w:val="008E3A32"/>
    <w:rsid w:val="009032E7"/>
    <w:rsid w:val="00907C9E"/>
    <w:rsid w:val="009130F5"/>
    <w:rsid w:val="00952DD5"/>
    <w:rsid w:val="00963B3F"/>
    <w:rsid w:val="009817A6"/>
    <w:rsid w:val="00997049"/>
    <w:rsid w:val="009B3CC8"/>
    <w:rsid w:val="009D7DB7"/>
    <w:rsid w:val="00A047D0"/>
    <w:rsid w:val="00A177FE"/>
    <w:rsid w:val="00A25BC7"/>
    <w:rsid w:val="00A82A45"/>
    <w:rsid w:val="00AA256F"/>
    <w:rsid w:val="00AC0410"/>
    <w:rsid w:val="00AE7031"/>
    <w:rsid w:val="00AF6729"/>
    <w:rsid w:val="00B1558C"/>
    <w:rsid w:val="00B42628"/>
    <w:rsid w:val="00BC01E3"/>
    <w:rsid w:val="00BC1A79"/>
    <w:rsid w:val="00BC3134"/>
    <w:rsid w:val="00BC4F79"/>
    <w:rsid w:val="00C311FF"/>
    <w:rsid w:val="00CC2316"/>
    <w:rsid w:val="00CE151E"/>
    <w:rsid w:val="00D04F34"/>
    <w:rsid w:val="00DB4613"/>
    <w:rsid w:val="00DD6165"/>
    <w:rsid w:val="00DF31FA"/>
    <w:rsid w:val="00E535BE"/>
    <w:rsid w:val="00E80CD6"/>
    <w:rsid w:val="00EE216A"/>
    <w:rsid w:val="00EF5493"/>
    <w:rsid w:val="00F3009B"/>
    <w:rsid w:val="00F95C46"/>
    <w:rsid w:val="00FC6DC2"/>
    <w:rsid w:val="00FE2381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04F5E1"/>
  <w15:chartTrackingRefBased/>
  <w15:docId w15:val="{079B6AA2-A7B5-49CF-8C2C-AC1EDB70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62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314662"/>
    <w:pPr>
      <w:spacing w:before="10"/>
      <w:ind w:left="110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314662"/>
    <w:pPr>
      <w:spacing w:before="70"/>
      <w:ind w:left="1100"/>
      <w:jc w:val="both"/>
      <w:outlineLvl w:val="1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14662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14662"/>
    <w:rPr>
      <w:rFonts w:ascii="Arial" w:eastAsia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146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1">
    <w:name w:val="toc 1"/>
    <w:basedOn w:val="Normal"/>
    <w:uiPriority w:val="1"/>
    <w:qFormat/>
    <w:rsid w:val="00314662"/>
    <w:pPr>
      <w:spacing w:before="90"/>
      <w:ind w:left="112"/>
    </w:pPr>
    <w:rPr>
      <w:rFonts w:ascii="Arial" w:eastAsia="Arial" w:hAnsi="Arial" w:cs="Arial"/>
      <w:sz w:val="20"/>
      <w:szCs w:val="20"/>
    </w:rPr>
  </w:style>
  <w:style w:type="paragraph" w:styleId="TOC2">
    <w:name w:val="toc 2"/>
    <w:basedOn w:val="Normal"/>
    <w:uiPriority w:val="1"/>
    <w:qFormat/>
    <w:rsid w:val="00314662"/>
    <w:pPr>
      <w:spacing w:before="90"/>
      <w:ind w:left="352"/>
    </w:pPr>
    <w:rPr>
      <w:rFonts w:ascii="Arial" w:eastAsia="Arial" w:hAnsi="Arial" w:cs="Arial"/>
      <w:sz w:val="20"/>
      <w:szCs w:val="20"/>
    </w:rPr>
  </w:style>
  <w:style w:type="paragraph" w:styleId="TOC3">
    <w:name w:val="toc 3"/>
    <w:basedOn w:val="Normal"/>
    <w:uiPriority w:val="1"/>
    <w:qFormat/>
    <w:rsid w:val="00314662"/>
    <w:pPr>
      <w:spacing w:before="89"/>
      <w:ind w:left="694" w:hanging="223"/>
    </w:pPr>
    <w:rPr>
      <w:rFonts w:ascii="Arial" w:eastAsia="Arial" w:hAnsi="Arial" w:cs="Arial"/>
      <w:sz w:val="20"/>
      <w:szCs w:val="20"/>
    </w:rPr>
  </w:style>
  <w:style w:type="paragraph" w:styleId="TOC4">
    <w:name w:val="toc 4"/>
    <w:basedOn w:val="Normal"/>
    <w:uiPriority w:val="1"/>
    <w:qFormat/>
    <w:rsid w:val="00314662"/>
    <w:pPr>
      <w:spacing w:before="1"/>
      <w:ind w:left="1434"/>
    </w:pPr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314662"/>
    <w:pPr>
      <w:spacing w:before="39"/>
      <w:ind w:left="2103" w:right="2197"/>
    </w:pPr>
    <w:rPr>
      <w:rFonts w:ascii="Arial" w:eastAsia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314662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314662"/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466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14662"/>
    <w:pPr>
      <w:spacing w:before="10"/>
      <w:ind w:left="1388" w:hanging="288"/>
    </w:pPr>
    <w:rPr>
      <w:rFonts w:eastAsia="Times New Roman" w:cs="Times New Roman"/>
    </w:rPr>
  </w:style>
  <w:style w:type="paragraph" w:customStyle="1" w:styleId="Terms">
    <w:name w:val="Term(s)"/>
    <w:basedOn w:val="Normal"/>
    <w:rsid w:val="00C311FF"/>
    <w:pPr>
      <w:widowControl/>
      <w:suppressAutoHyphens/>
      <w:autoSpaceDE/>
      <w:autoSpaceDN/>
      <w:spacing w:line="240" w:lineRule="atLeast"/>
    </w:pPr>
    <w:rPr>
      <w:rFonts w:ascii="Cambria" w:eastAsia="Calibri" w:hAnsi="Cambria" w:cs="Times New Roman"/>
      <w:b/>
      <w:lang w:val="en-GB"/>
    </w:rPr>
  </w:style>
  <w:style w:type="paragraph" w:customStyle="1" w:styleId="Definition">
    <w:name w:val="Definition"/>
    <w:basedOn w:val="Normal"/>
    <w:rsid w:val="00C311FF"/>
    <w:pPr>
      <w:widowControl/>
      <w:autoSpaceDE/>
      <w:autoSpaceDN/>
      <w:spacing w:after="240" w:line="230" w:lineRule="atLeast"/>
      <w:jc w:val="both"/>
    </w:pPr>
    <w:rPr>
      <w:rFonts w:ascii="Cambria" w:eastAsia="Calibri" w:hAnsi="Cambria" w:cs="Times New Roman"/>
      <w:lang w:val="en-GB"/>
    </w:rPr>
  </w:style>
  <w:style w:type="paragraph" w:customStyle="1" w:styleId="Formula">
    <w:name w:val="Formula"/>
    <w:basedOn w:val="Normal"/>
    <w:rsid w:val="00C311FF"/>
    <w:pPr>
      <w:widowControl/>
      <w:tabs>
        <w:tab w:val="right" w:pos="9749"/>
      </w:tabs>
      <w:autoSpaceDE/>
      <w:autoSpaceDN/>
      <w:spacing w:after="220" w:line="240" w:lineRule="atLeast"/>
      <w:ind w:left="403"/>
    </w:pPr>
    <w:rPr>
      <w:rFonts w:ascii="Cambria" w:eastAsia="Calibri" w:hAnsi="Cambria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5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5B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35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E0BB-35FD-4F11-94D6-2D158001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Kerr</dc:creator>
  <cp:keywords/>
  <dc:description/>
  <cp:lastModifiedBy>Matt Walker</cp:lastModifiedBy>
  <cp:revision>7</cp:revision>
  <dcterms:created xsi:type="dcterms:W3CDTF">2024-07-15T20:19:00Z</dcterms:created>
  <dcterms:modified xsi:type="dcterms:W3CDTF">2025-08-27T22:01:00Z</dcterms:modified>
</cp:coreProperties>
</file>